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510149</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26</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w:t>
      </w:r>
      <w:r>
        <w:rPr>
          <w:rFonts w:hint="eastAsia" w:ascii="Times New Roman" w:hAnsi="Times New Roman"/>
          <w:sz w:val="22"/>
          <w:highlight w:val="none"/>
        </w:rPr>
        <w:t xml:space="preserve"> requirements</w:t>
      </w:r>
      <w:r>
        <w:rPr>
          <w:rFonts w:hint="eastAsia" w:ascii="Times New Roman" w:hAnsi="Times New Roman"/>
          <w:sz w:val="22"/>
          <w:highlight w:val="none"/>
          <w:lang w:val="en-US" w:eastAsia="zh-CN"/>
        </w:rPr>
        <w:t xml:space="preserve"> XR (eXtended Reality)</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XR (eXtended Reality) for NR Phase 3,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6EC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AB9C0C">
            <w:pPr>
              <w:pStyle w:val="3"/>
              <w:numPr>
                <w:ilvl w:val="0"/>
                <w:numId w:val="0"/>
              </w:numPr>
              <w:tabs>
                <w:tab w:val="left" w:pos="432"/>
                <w:tab w:val="clear" w:pos="576"/>
              </w:tabs>
              <w:ind w:left="576" w:hanging="576"/>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Issue 1-1: UE power class</w:t>
            </w:r>
          </w:p>
          <w:p w14:paraId="6820F126">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&gt;</w:t>
            </w:r>
          </w:p>
          <w:p w14:paraId="2ADF9EA7">
            <w:pPr>
              <w:pStyle w:val="11"/>
              <w:numPr>
                <w:ilvl w:val="0"/>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The requirements for inter-frequency measurement gap cancellation apply for UE power class 3.</w:t>
            </w:r>
          </w:p>
          <w:p w14:paraId="7A29098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5110D4E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509D98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w:t>
      </w:r>
      <w:r>
        <w:rPr>
          <w:rFonts w:hint="default" w:ascii="Times New Roman" w:hAnsi="Times New Roman" w:cs="Times New Roman"/>
          <w:sz w:val="20"/>
          <w:szCs w:val="20"/>
          <w:lang w:eastAsia="zh-CN"/>
        </w:rPr>
        <w:t>gap cancellation</w:t>
      </w:r>
      <w:r>
        <w:rPr>
          <w:rFonts w:hint="eastAsia" w:ascii="Times New Roman" w:hAnsi="Times New Roman" w:cs="Times New Roman"/>
          <w:sz w:val="20"/>
          <w:szCs w:val="20"/>
          <w:lang w:val="en-US" w:eastAsia="zh-CN"/>
        </w:rPr>
        <w:t>, w</w:t>
      </w:r>
      <w:r>
        <w:rPr>
          <w:rFonts w:hint="eastAsia" w:ascii="Times New Roman" w:hAnsi="Times New Roman"/>
          <w:sz w:val="20"/>
          <w:szCs w:val="20"/>
          <w:lang w:val="en-US" w:eastAsia="zh-CN"/>
        </w:rPr>
        <w:t>e do not see the necessity to limit to UE power class 3. Firstly, even consider other power class except for power class 3, there is no extra RAN4 workload and RRM impact are limited. From perspective of RRM requirements, UE power class has limited impact, only the M value in the delay requierments are related with power class. According to current discussion on measurement delay extention due to gap skipping, M values has no imapct. Secondly, limiting to power class 3 means that network can only configure gap skipping indication to UE power class 3 , which has limitation on network implementation. Based on above consideration, it is not proposed to limit to power class 3.</w:t>
      </w:r>
    </w:p>
    <w:p w14:paraId="1F3E5EF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cs="Times New Roman"/>
          <w:b/>
          <w:bCs/>
          <w:i/>
          <w:iCs/>
          <w:sz w:val="20"/>
          <w:szCs w:val="20"/>
          <w:lang w:eastAsia="zh-CN"/>
        </w:rPr>
        <w:t>gap cancellation</w:t>
      </w:r>
      <w:r>
        <w:rPr>
          <w:rFonts w:hint="eastAsia" w:ascii="Times New Roman" w:hAnsi="Times New Roman" w:cs="Times New Roman"/>
          <w:b/>
          <w:bCs/>
          <w:i/>
          <w:iCs/>
          <w:sz w:val="20"/>
          <w:szCs w:val="20"/>
          <w:lang w:val="en-US" w:eastAsia="zh-CN"/>
        </w:rPr>
        <w:t xml:space="preserve">, </w:t>
      </w:r>
      <w:r>
        <w:rPr>
          <w:rFonts w:hint="eastAsia" w:ascii="Times New Roman" w:hAnsi="Times New Roman"/>
          <w:b/>
          <w:bCs/>
          <w:i/>
          <w:iCs/>
          <w:sz w:val="20"/>
          <w:szCs w:val="20"/>
          <w:lang w:val="en-US" w:eastAsia="zh-CN"/>
        </w:rPr>
        <w:t>we do not see the necessity to limit to</w:t>
      </w:r>
      <w:r>
        <w:rPr>
          <w:rFonts w:hint="default" w:ascii="Times New Roman" w:hAnsi="Times New Roman" w:cs="Times New Roman"/>
          <w:b/>
          <w:bCs/>
          <w:i/>
          <w:iCs/>
          <w:sz w:val="20"/>
          <w:szCs w:val="20"/>
          <w:lang w:eastAsia="zh-CN"/>
        </w:rPr>
        <w:t xml:space="preserve"> UE power class 3.</w:t>
      </w:r>
      <w:r>
        <w:rPr>
          <w:rFonts w:hint="eastAsia" w:ascii="Times New Roman" w:hAnsi="Times New Roman"/>
          <w:b/>
          <w:bCs/>
          <w:i/>
          <w:iCs/>
          <w:sz w:val="20"/>
          <w:szCs w:val="20"/>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7CF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8C08A1">
            <w:pPr>
              <w:pStyle w:val="3"/>
              <w:numPr>
                <w:ilvl w:val="0"/>
                <w:numId w:val="0"/>
              </w:numPr>
              <w:tabs>
                <w:tab w:val="left" w:pos="432"/>
                <w:tab w:val="clear" w:pos="576"/>
              </w:tabs>
              <w:ind w:left="576" w:hanging="576"/>
              <w:rPr>
                <w:rFonts w:hint="default" w:ascii="Times New Roman" w:hAnsi="Times New Roman" w:cs="Times New Roman"/>
                <w:b/>
                <w:bCs/>
                <w:sz w:val="20"/>
                <w:szCs w:val="20"/>
                <w:highlight w:val="none"/>
                <w:lang w:val="en-GB"/>
              </w:rPr>
            </w:pPr>
            <w:r>
              <w:rPr>
                <w:rFonts w:hint="default" w:ascii="Times New Roman" w:hAnsi="Times New Roman" w:cs="Times New Roman"/>
                <w:b/>
                <w:bCs/>
                <w:sz w:val="20"/>
                <w:szCs w:val="20"/>
                <w:highlight w:val="none"/>
                <w:lang w:val="en-GB"/>
              </w:rPr>
              <w:t>Issue 2-1: Type 2 gaps</w:t>
            </w:r>
          </w:p>
          <w:p w14:paraId="23B35AC3">
            <w:pPr>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&lt;</w:t>
            </w:r>
            <w:r>
              <w:rPr>
                <w:rFonts w:hint="default" w:ascii="Times New Roman" w:hAnsi="Times New Roman" w:cs="Times New Roman"/>
                <w:b/>
                <w:bCs/>
                <w:sz w:val="20"/>
                <w:szCs w:val="20"/>
                <w:highlight w:val="none"/>
                <w:lang w:eastAsia="zh-CN"/>
              </w:rPr>
              <w:t>Agreement</w:t>
            </w:r>
            <w:r>
              <w:rPr>
                <w:rFonts w:hint="default" w:ascii="Times New Roman" w:hAnsi="Times New Roman" w:cs="Times New Roman"/>
                <w:sz w:val="20"/>
                <w:szCs w:val="20"/>
                <w:highlight w:val="none"/>
                <w:lang w:eastAsia="zh-CN"/>
              </w:rPr>
              <w:t>&gt;</w:t>
            </w:r>
          </w:p>
          <w:p w14:paraId="61C61D33">
            <w:pPr>
              <w:pStyle w:val="11"/>
              <w:numPr>
                <w:ilvl w:val="0"/>
                <w:numId w:val="7"/>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MG cancelling DCI applies to concurrent MGs and cancels the MG surviving the collision handling rules.</w:t>
            </w:r>
          </w:p>
          <w:p w14:paraId="085B19E1">
            <w:pPr>
              <w:pStyle w:val="11"/>
              <w:numPr>
                <w:ilvl w:val="0"/>
                <w:numId w:val="7"/>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The timeline X ms for the MG cancelling the colliding MGs is based on the one that survives collision handling rules.</w:t>
            </w:r>
          </w:p>
          <w:p w14:paraId="29FC72E1">
            <w:pPr>
              <w:pStyle w:val="11"/>
              <w:numPr>
                <w:ilvl w:val="0"/>
                <w:numId w:val="7"/>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DCI skipping cannot be applied if any gap is configured with gapAssociationPRS</w:t>
            </w:r>
          </w:p>
          <w:p w14:paraId="54CFE6AC">
            <w:pPr>
              <w:pStyle w:val="11"/>
              <w:numPr>
                <w:ilvl w:val="0"/>
                <w:numId w:val="7"/>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FFS the applicability of the gap cancellation if two non colliding concurrent gaps are separated by less than X ms</w:t>
            </w:r>
          </w:p>
          <w:p w14:paraId="32C827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06ADBF8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A8AA7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It was agreed that MG cancelling DCI applies to concurrent MGs and cancels the MG surviving the collision handling rules, and the timeline X ms for the MG cancelling the colliding MGs is based on the one that survives collision handling rules. The remaining issue is </w:t>
      </w:r>
      <w:r>
        <w:rPr>
          <w:rFonts w:hint="default" w:ascii="Times New Roman" w:hAnsi="Times New Roman" w:cs="Times New Roman"/>
          <w:sz w:val="20"/>
          <w:szCs w:val="20"/>
          <w:highlight w:val="none"/>
          <w:lang w:eastAsia="zh-CN"/>
        </w:rPr>
        <w:t>the applicability of the gap cancellation if two non colliding concurrent gaps are separated by less than X ms</w:t>
      </w:r>
      <w:r>
        <w:rPr>
          <w:rFonts w:hint="eastAsia" w:ascii="Times New Roman" w:hAnsi="Times New Roman" w:cs="Times New Roman"/>
          <w:sz w:val="20"/>
          <w:szCs w:val="20"/>
          <w:highlight w:val="none"/>
          <w:lang w:val="en-US" w:eastAsia="zh-CN"/>
        </w:rPr>
        <w:t xml:space="preserve">. </w:t>
      </w:r>
    </w:p>
    <w:p w14:paraId="314EB9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As baseline, X is 5ms, and optional is 3 ms with UE capability. For the case that </w:t>
      </w:r>
      <w:r>
        <w:rPr>
          <w:rFonts w:hint="default" w:ascii="Times New Roman" w:hAnsi="Times New Roman" w:cs="Times New Roman"/>
          <w:sz w:val="20"/>
          <w:szCs w:val="20"/>
          <w:highlight w:val="none"/>
          <w:lang w:eastAsia="zh-CN"/>
        </w:rPr>
        <w:t>non colliding concurrent gaps are separated by less than X ms</w:t>
      </w:r>
      <w:r>
        <w:rPr>
          <w:rFonts w:hint="eastAsia" w:ascii="Times New Roman" w:hAnsi="Times New Roman" w:cs="Times New Roman"/>
          <w:sz w:val="20"/>
          <w:szCs w:val="20"/>
          <w:highlight w:val="none"/>
          <w:lang w:val="en-US" w:eastAsia="zh-CN"/>
        </w:rPr>
        <w:t xml:space="preserve">, we believe X is 5ms, since the concurrent gaps are considered as colliding if the distance between the two gap occasions is equal to or smaller than 4ms. For the scenario that </w:t>
      </w:r>
      <w:r>
        <w:rPr>
          <w:rFonts w:hint="default" w:ascii="Times New Roman" w:hAnsi="Times New Roman" w:cs="Times New Roman"/>
          <w:sz w:val="20"/>
          <w:szCs w:val="20"/>
          <w:highlight w:val="none"/>
          <w:lang w:eastAsia="zh-CN"/>
        </w:rPr>
        <w:t>concurrent gaps are separated by less than X ms</w:t>
      </w:r>
      <w:r>
        <w:rPr>
          <w:rFonts w:hint="eastAsia" w:ascii="Times New Roman" w:hAnsi="Times New Roman" w:cs="Times New Roman"/>
          <w:sz w:val="20"/>
          <w:szCs w:val="20"/>
          <w:highlight w:val="none"/>
          <w:lang w:val="en-US" w:eastAsia="zh-CN"/>
        </w:rPr>
        <w:t xml:space="preserve"> and X is 3ms, it is the colliding case, and MG cancelling DCI applies to the MG surviving the collision handling rules. </w:t>
      </w:r>
    </w:p>
    <w:p w14:paraId="35F791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For the scenario that </w:t>
      </w:r>
      <w:r>
        <w:rPr>
          <w:rFonts w:hint="default" w:ascii="Times New Roman" w:hAnsi="Times New Roman" w:cs="Times New Roman"/>
          <w:sz w:val="20"/>
          <w:szCs w:val="20"/>
          <w:highlight w:val="none"/>
          <w:lang w:eastAsia="zh-CN"/>
        </w:rPr>
        <w:t>concurrent gaps are separated by less than X ms</w:t>
      </w:r>
      <w:r>
        <w:rPr>
          <w:rFonts w:hint="eastAsia" w:ascii="Times New Roman" w:hAnsi="Times New Roman" w:cs="Times New Roman"/>
          <w:sz w:val="20"/>
          <w:szCs w:val="20"/>
          <w:highlight w:val="none"/>
          <w:lang w:val="en-US" w:eastAsia="zh-CN"/>
        </w:rPr>
        <w:t xml:space="preserve"> and X is 5ms, there are two cases：</w:t>
      </w:r>
    </w:p>
    <w:p w14:paraId="7796EE6B">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Case 1 is MG cancelling indication is received before the concurrent gaps. </w:t>
      </w:r>
    </w:p>
    <w:p w14:paraId="58F26939">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If the distance between the indication and the first gap occasion is larger than X ms, the first gap occasion is cancelled, as shown in Figure 1. </w:t>
      </w:r>
    </w:p>
    <w:p w14:paraId="18CEC714">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If the distance between the indication and the first gap occasion is smaller than X ms, and the distance between the indication and the second gap occasion is larger than X ms, the second gap occasion is cancelled, as shown in Figure 2. </w:t>
      </w:r>
    </w:p>
    <w:p w14:paraId="4EE64A8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If the distance between the indication and the second gap occasion is smaller than X ms, the first gap occasion of next concurrent gap is cancelled, as shown in Figure 3. </w:t>
      </w:r>
    </w:p>
    <w:p w14:paraId="79C968AB">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Case 2 is MG cancelling indication is received beween twp gap occasions of the concurrent gaps</w:t>
      </w:r>
    </w:p>
    <w:p w14:paraId="28DFEC86">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since the distance between two gap occasions are smaller than X ms, the the first gap occasion of next concurrent gap is cancelled, as shown in Figure 4. </w:t>
      </w:r>
    </w:p>
    <w:p w14:paraId="08D7372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sz w:val="20"/>
          <w:szCs w:val="20"/>
          <w:highlight w:val="none"/>
          <w:lang w:val="en-US" w:eastAsia="zh-CN"/>
        </w:rPr>
        <w:t xml:space="preserve">In summary, </w:t>
      </w:r>
      <w:r>
        <w:rPr>
          <w:rFonts w:hint="eastAsia" w:ascii="Times New Roman" w:hAnsi="Times New Roman"/>
          <w:sz w:val="20"/>
          <w:szCs w:val="20"/>
          <w:lang w:val="en-US" w:eastAsia="zh-CN"/>
        </w:rPr>
        <w:t>MG cancelling DCI cancels the MG occasion which is the first occasion that satisfy the X ms from the cancelling indication reception.</w:t>
      </w:r>
    </w:p>
    <w:p w14:paraId="21A58712">
      <w:pPr>
        <w:keepNext w:val="0"/>
        <w:keepLines w:val="0"/>
        <w:pageBreakBefore w:val="0"/>
        <w:widowControl w:val="0"/>
        <w:kinsoku/>
        <w:wordWrap/>
        <w:overflowPunct/>
        <w:topLinePunct w:val="0"/>
        <w:autoSpaceDE/>
        <w:autoSpaceDN/>
        <w:bidi w:val="0"/>
        <w:adjustRightInd/>
        <w:snapToGrid/>
        <w:spacing w:after="180" w:line="240" w:lineRule="auto"/>
        <w:textAlignment w:val="auto"/>
      </w:pPr>
      <w:r>
        <w:drawing>
          <wp:inline distT="0" distB="0" distL="114300" distR="114300">
            <wp:extent cx="5782945" cy="1005205"/>
            <wp:effectExtent l="0" t="0" r="825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5782945" cy="1005205"/>
                    </a:xfrm>
                    <a:prstGeom prst="rect">
                      <a:avLst/>
                    </a:prstGeom>
                    <a:noFill/>
                    <a:ln>
                      <a:noFill/>
                    </a:ln>
                  </pic:spPr>
                </pic:pic>
              </a:graphicData>
            </a:graphic>
          </wp:inline>
        </w:drawing>
      </w:r>
    </w:p>
    <w:p w14:paraId="2573225F">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Figure 1</w:t>
      </w:r>
    </w:p>
    <w:p w14:paraId="1E9F5F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0EA3C0C4">
      <w:pPr>
        <w:keepNext w:val="0"/>
        <w:keepLines w:val="0"/>
        <w:pageBreakBefore w:val="0"/>
        <w:widowControl w:val="0"/>
        <w:kinsoku/>
        <w:wordWrap/>
        <w:overflowPunct/>
        <w:topLinePunct w:val="0"/>
        <w:autoSpaceDE/>
        <w:autoSpaceDN/>
        <w:bidi w:val="0"/>
        <w:adjustRightInd/>
        <w:snapToGrid/>
        <w:spacing w:after="180" w:line="240" w:lineRule="auto"/>
        <w:textAlignment w:val="auto"/>
      </w:pPr>
      <w:r>
        <w:drawing>
          <wp:inline distT="0" distB="0" distL="114300" distR="114300">
            <wp:extent cx="5783580" cy="1318260"/>
            <wp:effectExtent l="0" t="0" r="762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83580" cy="1318260"/>
                    </a:xfrm>
                    <a:prstGeom prst="rect">
                      <a:avLst/>
                    </a:prstGeom>
                    <a:noFill/>
                    <a:ln>
                      <a:noFill/>
                    </a:ln>
                  </pic:spPr>
                </pic:pic>
              </a:graphicData>
            </a:graphic>
          </wp:inline>
        </w:drawing>
      </w:r>
    </w:p>
    <w:p w14:paraId="0A189973">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2</w:t>
      </w:r>
    </w:p>
    <w:p w14:paraId="618F1845">
      <w:pPr>
        <w:keepNext w:val="0"/>
        <w:keepLines w:val="0"/>
        <w:pageBreakBefore w:val="0"/>
        <w:widowControl w:val="0"/>
        <w:kinsoku/>
        <w:wordWrap/>
        <w:overflowPunct/>
        <w:topLinePunct w:val="0"/>
        <w:autoSpaceDE/>
        <w:autoSpaceDN/>
        <w:bidi w:val="0"/>
        <w:adjustRightInd/>
        <w:snapToGrid/>
        <w:spacing w:after="180" w:line="240" w:lineRule="auto"/>
        <w:textAlignment w:val="auto"/>
      </w:pPr>
    </w:p>
    <w:p w14:paraId="2F0B76E5">
      <w:pPr>
        <w:keepNext w:val="0"/>
        <w:keepLines w:val="0"/>
        <w:pageBreakBefore w:val="0"/>
        <w:widowControl w:val="0"/>
        <w:kinsoku/>
        <w:wordWrap/>
        <w:overflowPunct/>
        <w:topLinePunct w:val="0"/>
        <w:autoSpaceDE/>
        <w:autoSpaceDN/>
        <w:bidi w:val="0"/>
        <w:adjustRightInd/>
        <w:snapToGrid/>
        <w:spacing w:after="180" w:line="240" w:lineRule="auto"/>
        <w:textAlignment w:val="auto"/>
      </w:pPr>
      <w:r>
        <w:drawing>
          <wp:inline distT="0" distB="0" distL="114300" distR="114300">
            <wp:extent cx="5780405" cy="1588135"/>
            <wp:effectExtent l="0" t="0" r="1079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780405" cy="1588135"/>
                    </a:xfrm>
                    <a:prstGeom prst="rect">
                      <a:avLst/>
                    </a:prstGeom>
                    <a:noFill/>
                    <a:ln>
                      <a:noFill/>
                    </a:ln>
                  </pic:spPr>
                </pic:pic>
              </a:graphicData>
            </a:graphic>
          </wp:inline>
        </w:drawing>
      </w:r>
    </w:p>
    <w:p w14:paraId="2D94323D">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3</w:t>
      </w:r>
    </w:p>
    <w:p w14:paraId="315CFA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p>
    <w:p w14:paraId="135B5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r>
        <w:drawing>
          <wp:inline distT="0" distB="0" distL="114300" distR="114300">
            <wp:extent cx="5786755" cy="1564640"/>
            <wp:effectExtent l="0" t="0" r="4445"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786755" cy="1564640"/>
                    </a:xfrm>
                    <a:prstGeom prst="rect">
                      <a:avLst/>
                    </a:prstGeom>
                    <a:noFill/>
                    <a:ln>
                      <a:noFill/>
                    </a:ln>
                  </pic:spPr>
                </pic:pic>
              </a:graphicData>
            </a:graphic>
          </wp:inline>
        </w:drawing>
      </w:r>
    </w:p>
    <w:p w14:paraId="7277B6EB">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4</w:t>
      </w:r>
    </w:p>
    <w:p w14:paraId="7561E0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p>
    <w:p w14:paraId="7D738F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cs="Times New Roman"/>
          <w:b/>
          <w:bCs/>
          <w:i/>
          <w:iCs/>
          <w:sz w:val="20"/>
          <w:szCs w:val="20"/>
          <w:highlight w:val="none"/>
          <w:lang w:eastAsia="zh-CN"/>
        </w:rPr>
        <w:t>the applicability of the gap cancellation if two non colliding concurrent gaps are separated by less than X ms</w:t>
      </w:r>
      <w:r>
        <w:rPr>
          <w:rFonts w:hint="eastAsia" w:ascii="Times New Roman" w:hAnsi="Times New Roman" w:cs="Times New Roman"/>
          <w:b/>
          <w:bCs/>
          <w:i/>
          <w:iCs/>
          <w:sz w:val="20"/>
          <w:szCs w:val="20"/>
          <w:highlight w:val="none"/>
          <w:lang w:val="en-US" w:eastAsia="zh-CN"/>
        </w:rPr>
        <w:t>:</w:t>
      </w:r>
    </w:p>
    <w:p w14:paraId="520EB3F6">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If </w:t>
      </w:r>
      <w:r>
        <w:rPr>
          <w:rFonts w:hint="default" w:ascii="Times New Roman" w:hAnsi="Times New Roman" w:cs="Times New Roman"/>
          <w:b/>
          <w:bCs/>
          <w:i/>
          <w:iCs/>
          <w:sz w:val="20"/>
          <w:szCs w:val="20"/>
          <w:highlight w:val="none"/>
          <w:lang w:eastAsia="zh-CN"/>
        </w:rPr>
        <w:t>concurrent gaps are separated by less than X ms</w:t>
      </w:r>
      <w:r>
        <w:rPr>
          <w:rFonts w:hint="eastAsia" w:ascii="Times New Roman" w:hAnsi="Times New Roman" w:cs="Times New Roman"/>
          <w:b/>
          <w:bCs/>
          <w:i/>
          <w:iCs/>
          <w:sz w:val="20"/>
          <w:szCs w:val="20"/>
          <w:highlight w:val="none"/>
          <w:lang w:val="en-US" w:eastAsia="zh-CN"/>
        </w:rPr>
        <w:t xml:space="preserve"> and X is 3ms, it is the colliding case, and MG cancelling DCI applies to the MG surviving the collision handling rules.</w:t>
      </w:r>
    </w:p>
    <w:p w14:paraId="20D80B14">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If </w:t>
      </w:r>
      <w:r>
        <w:rPr>
          <w:rFonts w:hint="default" w:ascii="Times New Roman" w:hAnsi="Times New Roman" w:cs="Times New Roman"/>
          <w:b/>
          <w:bCs/>
          <w:i/>
          <w:iCs/>
          <w:sz w:val="20"/>
          <w:szCs w:val="20"/>
          <w:highlight w:val="none"/>
          <w:lang w:eastAsia="zh-CN"/>
        </w:rPr>
        <w:t>concurrent gaps are separated by less than X ms</w:t>
      </w:r>
      <w:r>
        <w:rPr>
          <w:rFonts w:hint="eastAsia" w:ascii="Times New Roman" w:hAnsi="Times New Roman" w:cs="Times New Roman"/>
          <w:b/>
          <w:bCs/>
          <w:i/>
          <w:iCs/>
          <w:sz w:val="20"/>
          <w:szCs w:val="20"/>
          <w:highlight w:val="none"/>
          <w:lang w:val="en-US" w:eastAsia="zh-CN"/>
        </w:rPr>
        <w:t xml:space="preserve"> and X is 5ms, </w:t>
      </w:r>
      <w:r>
        <w:rPr>
          <w:rFonts w:hint="eastAsia" w:ascii="Times New Roman" w:hAnsi="Times New Roman"/>
          <w:b/>
          <w:bCs/>
          <w:i/>
          <w:iCs/>
          <w:sz w:val="20"/>
          <w:szCs w:val="20"/>
          <w:lang w:val="en-US" w:eastAsia="zh-CN"/>
        </w:rPr>
        <w:t>MG cancelling DCI cancels the MG occasion which is the first occasion that satisfy the X ms from the cancelling indication reception.</w:t>
      </w:r>
    </w:p>
    <w:p w14:paraId="3317D0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cs="Times New Roman"/>
          <w:sz w:val="20"/>
          <w:szCs w:val="20"/>
          <w:highlight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4A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AAE17B">
            <w:pPr>
              <w:pStyle w:val="3"/>
              <w:tabs>
                <w:tab w:val="left" w:pos="432"/>
                <w:tab w:val="clear" w:pos="576"/>
              </w:tabs>
              <w:rPr>
                <w:rFonts w:hint="default" w:ascii="Times New Roman" w:hAnsi="Times New Roman" w:cs="Times New Roman"/>
                <w:b/>
                <w:bCs/>
                <w:sz w:val="20"/>
                <w:szCs w:val="20"/>
                <w:highlight w:val="none"/>
              </w:rPr>
            </w:pPr>
            <w:bookmarkStart w:id="8" w:name="_Toc190194450"/>
            <w:bookmarkStart w:id="9" w:name="_Toc190443761"/>
            <w:r>
              <w:rPr>
                <w:rFonts w:hint="default" w:ascii="Times New Roman" w:hAnsi="Times New Roman" w:cs="Times New Roman"/>
                <w:b/>
                <w:bCs/>
                <w:sz w:val="20"/>
                <w:szCs w:val="20"/>
                <w:highlight w:val="none"/>
              </w:rPr>
              <w:t>Issue 3-2: Formulas for measurement delay extension</w:t>
            </w:r>
            <w:bookmarkEnd w:id="8"/>
            <w:bookmarkEnd w:id="9"/>
          </w:p>
          <w:p w14:paraId="529CB6B8">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&lt;Way forward&gt;: </w:t>
            </w:r>
          </w:p>
          <w:p w14:paraId="4F6F1968">
            <w:pPr>
              <w:pStyle w:val="11"/>
              <w:numPr>
                <w:ilvl w:val="0"/>
                <w:numId w:val="7"/>
              </w:numPr>
              <w:spacing w:before="120" w:beforeLines="50" w:after="120" w:afterLines="50" w:line="300" w:lineRule="auto"/>
              <w:ind w:firstLineChars="0"/>
              <w:contextualSpacing/>
              <w:rPr>
                <w:rFonts w:hint="default" w:ascii="Times New Roman" w:hAnsi="Times New Roman" w:cs="Times New Roman"/>
                <w:bCs/>
                <w:sz w:val="20"/>
                <w:szCs w:val="20"/>
              </w:rPr>
            </w:pPr>
            <w:r>
              <w:rPr>
                <w:rFonts w:hint="default" w:ascii="Times New Roman" w:hAnsi="Times New Roman" w:cs="Times New Roman"/>
                <w:sz w:val="20"/>
                <w:szCs w:val="20"/>
                <w:lang w:eastAsia="zh-CN"/>
              </w:rPr>
              <w:t>RAN4 to define measurement delay extension due to measurement skipping for inter-frequency measurements with gap as</w:t>
            </w:r>
          </w:p>
          <w:p w14:paraId="742E904E">
            <w:pPr>
              <w:pStyle w:val="11"/>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1: Max(200 ms × CSSFinter, 8 × Max(MGRP , SMTC period) × CSSFinter + Nskip × Max(MGRP , SMTC period)), </w:t>
            </w:r>
          </w:p>
          <w:p w14:paraId="39630542">
            <w:pPr>
              <w:pStyle w:val="11"/>
              <w:numPr>
                <w:ilvl w:val="1"/>
                <w:numId w:val="11"/>
              </w:numPr>
              <w:overflowPunct/>
              <w:autoSpaceDE/>
              <w:autoSpaceDN/>
              <w:adjustRightInd/>
              <w:spacing w:after="160" w:line="259" w:lineRule="auto"/>
              <w:ind w:firstLineChars="0"/>
              <w:contextualSpacing/>
              <w:textAlignment w:val="auto"/>
              <w:rPr>
                <w:rFonts w:hint="default" w:ascii="Times New Roman" w:hAnsi="Times New Roman" w:cs="Times New Roman"/>
                <w:sz w:val="20"/>
                <w:szCs w:val="20"/>
                <w:lang w:eastAsia="en-GB"/>
              </w:rPr>
            </w:pPr>
            <w:r>
              <w:rPr>
                <w:rFonts w:hint="default" w:ascii="Times New Roman" w:hAnsi="Times New Roman" w:cs="Times New Roman"/>
                <w:bCs/>
                <w:sz w:val="20"/>
                <w:szCs w:val="20"/>
              </w:rPr>
              <w:t xml:space="preserve">Option 2: </w:t>
            </w:r>
            <w:r>
              <w:rPr>
                <w:rFonts w:hint="default" w:ascii="Times New Roman" w:hAnsi="Times New Roman" w:cs="Times New Roman"/>
                <w:sz w:val="20"/>
                <w:szCs w:val="20"/>
              </w:rPr>
              <w:t>Max( 200 ms, ( 8 + N</w:t>
            </w:r>
            <w:r>
              <w:rPr>
                <w:rFonts w:hint="default" w:ascii="Times New Roman" w:hAnsi="Times New Roman" w:cs="Times New Roman"/>
                <w:sz w:val="20"/>
                <w:szCs w:val="20"/>
                <w:vertAlign w:val="subscript"/>
              </w:rPr>
              <w:t>skip</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 × </w:t>
            </w:r>
            <w:r>
              <w:rPr>
                <w:rFonts w:hint="default" w:ascii="Times New Roman" w:hAnsi="Times New Roman" w:cs="Times New Roman"/>
                <w:sz w:val="20"/>
                <w:szCs w:val="20"/>
              </w:rPr>
              <w:t>Max(MGRP</w:t>
            </w:r>
            <w:r>
              <w:rPr>
                <w:rFonts w:hint="default" w:ascii="Times New Roman" w:hAnsi="Times New Roman" w:cs="Times New Roman"/>
                <w:sz w:val="20"/>
                <w:szCs w:val="20"/>
                <w:vertAlign w:val="superscript"/>
                <w:lang w:eastAsia="zh-CN"/>
              </w:rPr>
              <w:t xml:space="preserve"> </w:t>
            </w:r>
            <w:r>
              <w:rPr>
                <w:rFonts w:hint="default" w:ascii="Times New Roman" w:hAnsi="Times New Roman" w:cs="Times New Roman"/>
                <w:sz w:val="20"/>
                <w:szCs w:val="20"/>
              </w:rPr>
              <w:t>, SMTC period</w:t>
            </w:r>
            <w:r>
              <w:rPr>
                <w:rFonts w:hint="default" w:ascii="Times New Roman" w:hAnsi="Times New Roman" w:eastAsia="Malgun Gothic" w:cs="Times New Roman"/>
                <w:sz w:val="20"/>
                <w:szCs w:val="20"/>
                <w:lang w:eastAsia="zh-TW"/>
              </w:rPr>
              <w:t xml:space="preserve">) </w:t>
            </w:r>
            <w:r>
              <w:rPr>
                <w:rFonts w:hint="default" w:ascii="Times New Roman" w:hAnsi="Times New Roman" w:cs="Times New Roman"/>
                <w:sz w:val="20"/>
                <w:szCs w:val="20"/>
              </w:rPr>
              <w:t>)</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p w14:paraId="26CD97CF">
            <w:pPr>
              <w:pStyle w:val="11"/>
              <w:numPr>
                <w:ilvl w:val="1"/>
                <w:numId w:val="7"/>
              </w:numPr>
              <w:spacing w:before="120" w:beforeLines="50" w:after="120" w:afterLines="50" w:line="300" w:lineRule="auto"/>
              <w:ind w:firstLineChars="0"/>
              <w:contextualSpacing/>
              <w:rPr>
                <w:rFonts w:hint="default" w:ascii="Times New Roman" w:hAnsi="Times New Roman" w:cs="Times New Roman"/>
                <w:bCs/>
                <w:sz w:val="20"/>
                <w:szCs w:val="20"/>
              </w:rPr>
            </w:pPr>
            <w:r>
              <w:rPr>
                <w:rFonts w:hint="default" w:ascii="Times New Roman" w:hAnsi="Times New Roman" w:cs="Times New Roman"/>
                <w:bCs/>
                <w:sz w:val="20"/>
                <w:szCs w:val="20"/>
              </w:rPr>
              <w:t xml:space="preserve">Option 3: </w:t>
            </w:r>
          </w:p>
          <w:p w14:paraId="3845AA14">
            <w:pPr>
              <w:pStyle w:val="19"/>
              <w:numPr>
                <w:ilvl w:val="2"/>
                <w:numId w:val="7"/>
              </w:numPr>
              <w:spacing w:after="60"/>
              <w:rPr>
                <w:rFonts w:hint="default" w:ascii="Times New Roman" w:hAnsi="Times New Roman" w:cs="Times New Roman"/>
                <w:b w:val="0"/>
                <w:bCs/>
                <w:sz w:val="20"/>
                <w:szCs w:val="20"/>
              </w:rPr>
            </w:pPr>
            <w:r>
              <w:rPr>
                <w:rFonts w:hint="default" w:ascii="Times New Roman" w:hAnsi="Times New Roman" w:cs="Times New Roman"/>
                <w:b w:val="0"/>
                <w:bCs/>
                <w:sz w:val="20"/>
                <w:szCs w:val="20"/>
              </w:rPr>
              <w:t>T</w:t>
            </w:r>
            <w:r>
              <w:rPr>
                <w:rFonts w:hint="default" w:ascii="Times New Roman" w:hAnsi="Times New Roman" w:cs="Times New Roman"/>
                <w:b w:val="0"/>
                <w:bCs/>
                <w:sz w:val="20"/>
                <w:szCs w:val="20"/>
                <w:vertAlign w:val="subscript"/>
              </w:rPr>
              <w:t>identify_inter_without_index</w:t>
            </w:r>
            <w:r>
              <w:rPr>
                <w:rFonts w:hint="default" w:ascii="Times New Roman" w:hAnsi="Times New Roman" w:cs="Times New Roman"/>
                <w:b w:val="0"/>
                <w:bCs/>
                <w:sz w:val="20"/>
                <w:szCs w:val="20"/>
              </w:rPr>
              <w:t xml:space="preserve"> = (T</w:t>
            </w:r>
            <w:r>
              <w:rPr>
                <w:rFonts w:hint="default" w:ascii="Times New Roman" w:hAnsi="Times New Roman" w:cs="Times New Roman"/>
                <w:b w:val="0"/>
                <w:bCs/>
                <w:sz w:val="20"/>
                <w:szCs w:val="20"/>
                <w:vertAlign w:val="subscript"/>
              </w:rPr>
              <w:t>PSS/SSS_sync_inter</w:t>
            </w:r>
            <w:r>
              <w:rPr>
                <w:rFonts w:hint="default" w:ascii="Times New Roman" w:hAnsi="Times New Roman" w:cs="Times New Roman"/>
                <w:b w:val="0"/>
                <w:bCs/>
                <w:sz w:val="20"/>
                <w:szCs w:val="20"/>
              </w:rPr>
              <w:t xml:space="preserve"> + T</w:t>
            </w:r>
            <w:r>
              <w:rPr>
                <w:rFonts w:hint="default" w:ascii="Times New Roman" w:hAnsi="Times New Roman" w:cs="Times New Roman"/>
                <w:b w:val="0"/>
                <w:bCs/>
                <w:sz w:val="20"/>
                <w:szCs w:val="20"/>
                <w:vertAlign w:val="subscript"/>
              </w:rPr>
              <w:t>SSB_measurement_period_inter</w:t>
            </w:r>
            <w:r>
              <w:rPr>
                <w:rFonts w:hint="default" w:ascii="Times New Roman" w:hAnsi="Times New Roman" w:cs="Times New Roman"/>
                <w:b w:val="0"/>
                <w:bCs/>
                <w:sz w:val="20"/>
                <w:szCs w:val="20"/>
              </w:rPr>
              <w:t>+ T</w:t>
            </w:r>
            <w:r>
              <w:rPr>
                <w:rFonts w:hint="default" w:ascii="Times New Roman" w:hAnsi="Times New Roman" w:cs="Times New Roman"/>
                <w:b w:val="0"/>
                <w:bCs/>
                <w:sz w:val="20"/>
                <w:szCs w:val="20"/>
                <w:vertAlign w:val="subscript"/>
              </w:rPr>
              <w:t>skip</w:t>
            </w:r>
            <w:r>
              <w:rPr>
                <w:rFonts w:hint="default" w:ascii="Times New Roman" w:hAnsi="Times New Roman" w:cs="Times New Roman"/>
                <w:b w:val="0"/>
                <w:bCs/>
                <w:sz w:val="20"/>
                <w:szCs w:val="20"/>
              </w:rPr>
              <w:t xml:space="preserve">) ms </w:t>
            </w:r>
          </w:p>
          <w:p w14:paraId="639A9ED9">
            <w:pPr>
              <w:pStyle w:val="19"/>
              <w:numPr>
                <w:ilvl w:val="2"/>
                <w:numId w:val="7"/>
              </w:numPr>
              <w:spacing w:after="60"/>
              <w:rPr>
                <w:rFonts w:hint="default" w:ascii="Times New Roman" w:hAnsi="Times New Roman" w:cs="Times New Roman"/>
                <w:b w:val="0"/>
                <w:bCs/>
                <w:sz w:val="20"/>
                <w:szCs w:val="20"/>
              </w:rPr>
            </w:pPr>
            <w:r>
              <w:rPr>
                <w:rFonts w:hint="default" w:ascii="Times New Roman" w:hAnsi="Times New Roman" w:cs="Times New Roman"/>
                <w:b w:val="0"/>
                <w:bCs/>
                <w:sz w:val="20"/>
                <w:szCs w:val="20"/>
              </w:rPr>
              <w:t>T</w:t>
            </w:r>
            <w:r>
              <w:rPr>
                <w:rFonts w:hint="default" w:ascii="Times New Roman" w:hAnsi="Times New Roman" w:cs="Times New Roman"/>
                <w:b w:val="0"/>
                <w:bCs/>
                <w:sz w:val="20"/>
                <w:szCs w:val="20"/>
                <w:vertAlign w:val="subscript"/>
              </w:rPr>
              <w:t>identify_inter_with_index</w:t>
            </w:r>
            <w:r>
              <w:rPr>
                <w:rFonts w:hint="default" w:ascii="Times New Roman" w:hAnsi="Times New Roman" w:cs="Times New Roman"/>
                <w:b w:val="0"/>
                <w:bCs/>
                <w:sz w:val="20"/>
                <w:szCs w:val="20"/>
              </w:rPr>
              <w:t xml:space="preserve"> = (T</w:t>
            </w:r>
            <w:r>
              <w:rPr>
                <w:rFonts w:hint="default" w:ascii="Times New Roman" w:hAnsi="Times New Roman" w:cs="Times New Roman"/>
                <w:b w:val="0"/>
                <w:bCs/>
                <w:sz w:val="20"/>
                <w:szCs w:val="20"/>
                <w:vertAlign w:val="subscript"/>
              </w:rPr>
              <w:t>PSS/SSS_sync_inter</w:t>
            </w:r>
            <w:r>
              <w:rPr>
                <w:rFonts w:hint="default" w:ascii="Times New Roman" w:hAnsi="Times New Roman" w:cs="Times New Roman"/>
                <w:b w:val="0"/>
                <w:bCs/>
                <w:sz w:val="20"/>
                <w:szCs w:val="20"/>
              </w:rPr>
              <w:t xml:space="preserve"> + T</w:t>
            </w:r>
            <w:r>
              <w:rPr>
                <w:rFonts w:hint="default" w:ascii="Times New Roman" w:hAnsi="Times New Roman" w:cs="Times New Roman"/>
                <w:b w:val="0"/>
                <w:bCs/>
                <w:sz w:val="20"/>
                <w:szCs w:val="20"/>
                <w:vertAlign w:val="subscript"/>
              </w:rPr>
              <w:t>SSB_measurement_period_inter</w:t>
            </w:r>
            <w:r>
              <w:rPr>
                <w:rFonts w:hint="default" w:ascii="Times New Roman" w:hAnsi="Times New Roman" w:cs="Times New Roman"/>
                <w:b w:val="0"/>
                <w:bCs/>
                <w:sz w:val="20"/>
                <w:szCs w:val="20"/>
              </w:rPr>
              <w:t xml:space="preserve"> + T</w:t>
            </w:r>
            <w:r>
              <w:rPr>
                <w:rFonts w:hint="default" w:ascii="Times New Roman" w:hAnsi="Times New Roman" w:cs="Times New Roman"/>
                <w:b w:val="0"/>
                <w:bCs/>
                <w:sz w:val="20"/>
                <w:szCs w:val="20"/>
                <w:vertAlign w:val="subscript"/>
              </w:rPr>
              <w:t>SSB_time_index_inter</w:t>
            </w:r>
            <w:r>
              <w:rPr>
                <w:rFonts w:hint="default" w:ascii="Times New Roman" w:hAnsi="Times New Roman" w:cs="Times New Roman"/>
                <w:b w:val="0"/>
                <w:bCs/>
                <w:sz w:val="20"/>
                <w:szCs w:val="20"/>
              </w:rPr>
              <w:t>+ T</w:t>
            </w:r>
            <w:r>
              <w:rPr>
                <w:rFonts w:hint="default" w:ascii="Times New Roman" w:hAnsi="Times New Roman" w:cs="Times New Roman"/>
                <w:b w:val="0"/>
                <w:bCs/>
                <w:sz w:val="20"/>
                <w:szCs w:val="20"/>
                <w:vertAlign w:val="subscript"/>
              </w:rPr>
              <w:t>skip</w:t>
            </w:r>
            <w:r>
              <w:rPr>
                <w:rFonts w:hint="default" w:ascii="Times New Roman" w:hAnsi="Times New Roman" w:cs="Times New Roman"/>
                <w:b w:val="0"/>
                <w:bCs/>
                <w:sz w:val="20"/>
                <w:szCs w:val="20"/>
              </w:rPr>
              <w:t>) ms</w:t>
            </w:r>
          </w:p>
          <w:p w14:paraId="3DCCE604">
            <w:pPr>
              <w:pStyle w:val="11"/>
              <w:numPr>
                <w:ilvl w:val="2"/>
                <w:numId w:val="7"/>
              </w:numPr>
              <w:spacing w:before="120" w:beforeLines="50" w:after="120" w:afterLines="50" w:line="300" w:lineRule="auto"/>
              <w:ind w:firstLineChars="0"/>
              <w:contextualSpacing/>
              <w:rPr>
                <w:rFonts w:hint="default" w:ascii="Times New Roman" w:hAnsi="Times New Roman" w:cs="Times New Roman"/>
                <w:bCs/>
                <w:sz w:val="20"/>
                <w:szCs w:val="20"/>
              </w:rPr>
            </w:pPr>
            <w:r>
              <w:rPr>
                <w:rFonts w:hint="default" w:ascii="Times New Roman" w:hAnsi="Times New Roman" w:cs="Times New Roman"/>
                <w:bCs/>
                <w:sz w:val="20"/>
                <w:szCs w:val="20"/>
              </w:rPr>
              <w:t>where T</w:t>
            </w:r>
            <w:r>
              <w:rPr>
                <w:rFonts w:hint="default" w:ascii="Times New Roman" w:hAnsi="Times New Roman" w:cs="Times New Roman"/>
                <w:bCs/>
                <w:sz w:val="20"/>
                <w:szCs w:val="20"/>
                <w:vertAlign w:val="subscript"/>
              </w:rPr>
              <w:t>skip</w:t>
            </w:r>
            <w:r>
              <w:rPr>
                <w:rFonts w:hint="default" w:ascii="Times New Roman" w:hAnsi="Times New Roman" w:cs="Times New Roman"/>
                <w:bCs/>
                <w:sz w:val="20"/>
                <w:szCs w:val="20"/>
              </w:rPr>
              <w:t xml:space="preserve"> = N</w:t>
            </w:r>
            <w:r>
              <w:rPr>
                <w:rFonts w:hint="default" w:ascii="Times New Roman" w:hAnsi="Times New Roman" w:cs="Times New Roman"/>
                <w:bCs/>
                <w:sz w:val="20"/>
                <w:szCs w:val="20"/>
                <w:vertAlign w:val="subscript"/>
              </w:rPr>
              <w:t>skip</w:t>
            </w:r>
            <w:r>
              <w:rPr>
                <w:rFonts w:hint="default" w:ascii="Times New Roman" w:hAnsi="Times New Roman" w:cs="Times New Roman"/>
                <w:bCs/>
                <w:sz w:val="20"/>
                <w:szCs w:val="20"/>
              </w:rPr>
              <w:t xml:space="preserve"> </w:t>
            </w:r>
            <w:r>
              <w:rPr>
                <w:rFonts w:hint="default" w:ascii="Times New Roman" w:hAnsi="Times New Roman" w:eastAsia="Symbol" w:cs="Times New Roman"/>
                <w:bCs/>
                <w:sz w:val="20"/>
                <w:szCs w:val="20"/>
              </w:rPr>
              <w:t>´</w:t>
            </w:r>
            <w:r>
              <w:rPr>
                <w:rFonts w:hint="default" w:ascii="Times New Roman" w:hAnsi="Times New Roman" w:cs="Times New Roman"/>
                <w:bCs/>
                <w:sz w:val="20"/>
                <w:szCs w:val="20"/>
              </w:rPr>
              <w:t xml:space="preserve"> Max(MGRP</w:t>
            </w:r>
            <w:r>
              <w:rPr>
                <w:rFonts w:hint="default" w:ascii="Times New Roman" w:hAnsi="Times New Roman" w:cs="Times New Roman"/>
                <w:bCs/>
                <w:sz w:val="20"/>
                <w:szCs w:val="20"/>
                <w:vertAlign w:val="superscript"/>
                <w:lang w:eastAsia="zh-CN"/>
              </w:rPr>
              <w:t xml:space="preserve"> </w:t>
            </w:r>
            <w:r>
              <w:rPr>
                <w:rFonts w:hint="default" w:ascii="Times New Roman" w:hAnsi="Times New Roman" w:cs="Times New Roman"/>
                <w:bCs/>
                <w:sz w:val="20"/>
                <w:szCs w:val="20"/>
              </w:rPr>
              <w:t>, SMTC period</w:t>
            </w:r>
            <w:r>
              <w:rPr>
                <w:rFonts w:hint="default" w:ascii="Times New Roman" w:hAnsi="Times New Roman" w:eastAsia="Malgun Gothic" w:cs="Times New Roman"/>
                <w:bCs/>
                <w:sz w:val="20"/>
                <w:szCs w:val="20"/>
                <w:lang w:eastAsia="zh-TW"/>
              </w:rPr>
              <w:t>)</w:t>
            </w:r>
          </w:p>
          <w:p w14:paraId="2CE3DDF2">
            <w:pPr>
              <w:pStyle w:val="11"/>
              <w:numPr>
                <w:ilvl w:val="1"/>
                <w:numId w:val="7"/>
              </w:numPr>
              <w:spacing w:before="120" w:beforeLines="50" w:after="120" w:afterLines="50" w:line="300" w:lineRule="auto"/>
              <w:ind w:firstLineChars="0"/>
              <w:contextualSpacing/>
              <w:rPr>
                <w:rFonts w:hint="default" w:ascii="Times New Roman" w:hAnsi="Times New Roman" w:cs="Times New Roman"/>
                <w:bCs/>
                <w:sz w:val="20"/>
                <w:szCs w:val="20"/>
              </w:rPr>
            </w:pPr>
            <w:r>
              <w:rPr>
                <w:rFonts w:hint="default" w:ascii="Times New Roman" w:hAnsi="Times New Roman" w:eastAsia="Malgun Gothic" w:cs="Times New Roman"/>
                <w:bCs/>
                <w:sz w:val="20"/>
                <w:szCs w:val="20"/>
                <w:lang w:eastAsia="zh-TW"/>
              </w:rPr>
              <w:t>Other options are not precluded</w:t>
            </w:r>
          </w:p>
          <w:p w14:paraId="78A0F29A">
            <w:pPr>
              <w:pStyle w:val="11"/>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where N</w:t>
            </w:r>
            <w:r>
              <w:rPr>
                <w:rFonts w:hint="default" w:ascii="Times New Roman" w:hAnsi="Times New Roman" w:cs="Times New Roman"/>
                <w:sz w:val="20"/>
                <w:szCs w:val="20"/>
                <w:vertAlign w:val="subscript"/>
                <w:lang w:eastAsia="zh-CN"/>
              </w:rPr>
              <w:t>skip</w:t>
            </w:r>
            <w:r>
              <w:rPr>
                <w:rFonts w:hint="default" w:ascii="Times New Roman" w:hAnsi="Times New Roman" w:cs="Times New Roman"/>
                <w:sz w:val="20"/>
                <w:szCs w:val="20"/>
                <w:lang w:eastAsia="zh-CN"/>
              </w:rPr>
              <w:t xml:space="preserve"> is the number of  skipped MG occasions in the measurement period.</w:t>
            </w:r>
          </w:p>
          <w:p w14:paraId="51880544">
            <w:pPr>
              <w:pStyle w:val="11"/>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w:t>
            </w:r>
            <w:r>
              <w:rPr>
                <w:rFonts w:hint="default" w:ascii="Times New Roman" w:hAnsi="Times New Roman" w:cs="Times New Roman"/>
                <w:sz w:val="20"/>
                <w:szCs w:val="20"/>
              </w:rPr>
              <w:t>CSSF</w:t>
            </w:r>
            <w:r>
              <w:rPr>
                <w:rFonts w:hint="default" w:ascii="Times New Roman" w:hAnsi="Times New Roman" w:cs="Times New Roman"/>
                <w:sz w:val="20"/>
                <w:szCs w:val="20"/>
                <w:vertAlign w:val="subscript"/>
              </w:rPr>
              <w:t>inter</w:t>
            </w:r>
          </w:p>
          <w:p w14:paraId="181E079E">
            <w:pPr>
              <w:pStyle w:val="11"/>
              <w:numPr>
                <w:ilvl w:val="0"/>
                <w:numId w:val="0"/>
              </w:numPr>
              <w:overflowPunct/>
              <w:autoSpaceDE/>
              <w:autoSpaceDN/>
              <w:adjustRightInd/>
              <w:spacing w:after="160" w:line="259" w:lineRule="auto"/>
              <w:contextualSpacing/>
              <w:textAlignment w:val="auto"/>
              <w:rPr>
                <w:rFonts w:hint="default" w:ascii="Times New Roman" w:hAnsi="Times New Roman" w:cs="Times New Roman"/>
                <w:b w:val="0"/>
                <w:bCs w:val="0"/>
                <w:sz w:val="20"/>
                <w:szCs w:val="20"/>
                <w:vertAlign w:val="baseline"/>
                <w:lang w:val="en-US" w:eastAsia="zh-CN"/>
              </w:rPr>
            </w:pPr>
          </w:p>
        </w:tc>
      </w:tr>
    </w:tbl>
    <w:p w14:paraId="4639D6D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8D91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It was agreed to follow </w:t>
      </w:r>
      <w:r>
        <w:rPr>
          <w:rFonts w:hint="default" w:ascii="Times New Roman" w:hAnsi="Times New Roman" w:cs="Times New Roman"/>
          <w:sz w:val="20"/>
          <w:szCs w:val="20"/>
          <w:lang w:eastAsia="zh-CN"/>
        </w:rPr>
        <w:t>NR-U-like approach for designing the formulas for measurement delay extension.</w:t>
      </w:r>
      <w:r>
        <w:rPr>
          <w:rFonts w:hint="eastAsia" w:ascii="Times New Roman" w:hAnsi="Times New Roman" w:cs="Times New Roman"/>
          <w:sz w:val="20"/>
          <w:szCs w:val="20"/>
          <w:lang w:val="en-US" w:eastAsia="zh-CN"/>
        </w:rPr>
        <w:t xml:space="preserve"> Following is the duplication of legacy measurement period for NR intra-frequency measurements with CCA. It </w:t>
      </w:r>
      <w:r>
        <w:rPr>
          <w:rFonts w:hint="default" w:ascii="Times New Roman" w:hAnsi="Times New Roman" w:cs="Times New Roman"/>
          <w:sz w:val="20"/>
          <w:szCs w:val="20"/>
          <w:lang w:val="en-US" w:eastAsia="zh-CN"/>
        </w:rPr>
        <w:t xml:space="preserve">can be seen that </w:t>
      </w:r>
      <w:r>
        <w:rPr>
          <w:rFonts w:hint="default" w:ascii="Times New Roman" w:hAnsi="Times New Roman" w:cs="Times New Roman"/>
          <w:sz w:val="20"/>
          <w:szCs w:val="20"/>
          <w:lang w:eastAsia="en-GB"/>
        </w:rPr>
        <w:t>L</w:t>
      </w:r>
      <w:r>
        <w:rPr>
          <w:rFonts w:hint="default" w:ascii="Times New Roman" w:hAnsi="Times New Roman" w:cs="Times New Roman"/>
          <w:sz w:val="20"/>
          <w:szCs w:val="20"/>
          <w:vertAlign w:val="subscript"/>
          <w:lang w:eastAsia="en-GB"/>
        </w:rPr>
        <w:t>meas,gaps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ko-KR"/>
        </w:rPr>
        <w:t xml:space="preserve">is </w:t>
      </w:r>
      <w:r>
        <w:rPr>
          <w:rFonts w:hint="eastAsia" w:ascii="Times New Roman" w:hAnsi="Times New Roman" w:cs="Times New Roman"/>
          <w:sz w:val="20"/>
          <w:szCs w:val="20"/>
          <w:lang w:val="en-US" w:eastAsia="zh-CN"/>
        </w:rPr>
        <w:t xml:space="preserve">used to reflect </w:t>
      </w:r>
      <w:r>
        <w:rPr>
          <w:rFonts w:hint="default" w:ascii="Times New Roman" w:hAnsi="Times New Roman" w:cs="Times New Roman"/>
          <w:sz w:val="20"/>
          <w:szCs w:val="20"/>
          <w:lang w:eastAsia="ko-KR"/>
        </w:rPr>
        <w:t xml:space="preserve">the </w:t>
      </w:r>
      <w:r>
        <w:rPr>
          <w:rFonts w:hint="default" w:ascii="Times New Roman" w:hAnsi="Times New Roman" w:cs="Times New Roman"/>
          <w:sz w:val="20"/>
          <w:szCs w:val="20"/>
          <w:lang w:eastAsia="en-GB"/>
        </w:rPr>
        <w:t>number of SMTC occasions not available at the UE</w:t>
      </w:r>
      <w:r>
        <w:rPr>
          <w:rFonts w:hint="eastAsia" w:ascii="Times New Roman" w:hAnsi="Times New Roman" w:cs="Times New Roman"/>
          <w:sz w:val="20"/>
          <w:szCs w:val="20"/>
          <w:lang w:val="en-US" w:eastAsia="zh-CN"/>
        </w:rPr>
        <w:t xml:space="preserve"> due to LBT. For XR, measurement gap occasions indicated to be skipped are not available for measurement. It can be seen that the situation are similar between NR-U and XR. The way to define delay requirements for CCA can be reused to calculate </w:t>
      </w:r>
      <w:r>
        <w:rPr>
          <w:rFonts w:hint="default" w:ascii="Times New Roman" w:hAnsi="Times New Roman" w:cs="Times New Roman"/>
          <w:sz w:val="20"/>
          <w:szCs w:val="20"/>
          <w:lang w:eastAsia="zh-CN"/>
        </w:rPr>
        <w:t>measurement delay</w:t>
      </w:r>
      <w:r>
        <w:rPr>
          <w:rFonts w:hint="eastAsia" w:ascii="Times New Roman" w:hAnsi="Times New Roman" w:cs="Times New Roman"/>
          <w:sz w:val="20"/>
          <w:szCs w:val="20"/>
          <w:lang w:val="en-US" w:eastAsia="zh-CN"/>
        </w:rPr>
        <w:t xml:space="preserve"> extension due to MG skipping for XR.</w:t>
      </w:r>
    </w:p>
    <w:p w14:paraId="33368938">
      <w:pPr>
        <w:pStyle w:val="14"/>
      </w:pPr>
      <w:r>
        <w:t>Table 9.2A.6.2-1: Measurement period for intra-frequency measurements with gaps (FR1)</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B949CA9">
            <w:pPr>
              <w:pStyle w:val="15"/>
            </w:pPr>
            <w:r>
              <w:t>Condition</w:t>
            </w:r>
          </w:p>
        </w:tc>
        <w:tc>
          <w:tcPr>
            <w:tcW w:w="7261" w:type="dxa"/>
            <w:tcBorders>
              <w:top w:val="single" w:color="auto" w:sz="4" w:space="0"/>
              <w:left w:val="single" w:color="auto" w:sz="4" w:space="0"/>
              <w:bottom w:val="single" w:color="auto" w:sz="4" w:space="0"/>
              <w:right w:val="single" w:color="auto" w:sz="4" w:space="0"/>
            </w:tcBorders>
          </w:tcPr>
          <w:p w14:paraId="6F4AE153">
            <w:pPr>
              <w:pStyle w:val="15"/>
            </w:pPr>
            <w:r>
              <w:rPr>
                <w:lang w:eastAsia="en-GB"/>
              </w:rPr>
              <w:t>T</w:t>
            </w:r>
            <w:r>
              <w:rPr>
                <w:vertAlign w:val="subscript"/>
                <w:lang w:eastAsia="en-GB"/>
              </w:rPr>
              <w:t>SSB_measurement_period_intra_CCA</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3F731553">
            <w:pPr>
              <w:pStyle w:val="16"/>
            </w:pPr>
            <w:r>
              <w:t xml:space="preserve">No DRX </w:t>
            </w:r>
          </w:p>
        </w:tc>
        <w:tc>
          <w:tcPr>
            <w:tcW w:w="7261" w:type="dxa"/>
            <w:tcBorders>
              <w:top w:val="single" w:color="auto" w:sz="4" w:space="0"/>
              <w:left w:val="single" w:color="auto" w:sz="4" w:space="0"/>
              <w:bottom w:val="single" w:color="auto" w:sz="4" w:space="0"/>
              <w:right w:val="single" w:color="auto" w:sz="4" w:space="0"/>
            </w:tcBorders>
          </w:tcPr>
          <w:p w14:paraId="3D05EF6A">
            <w:pPr>
              <w:pStyle w:val="16"/>
            </w:pPr>
            <w:r>
              <w:t>max(200 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1B3FBDA">
            <w:pPr>
              <w:pStyle w:val="16"/>
            </w:pPr>
            <w:r>
              <w:t>DRX cycle</w:t>
            </w:r>
            <w:r>
              <w:rPr>
                <w:rFonts w:hint="eastAsia"/>
              </w:rPr>
              <w:t>≤</w:t>
            </w:r>
            <w:r>
              <w:t xml:space="preserve"> 320 ms </w:t>
            </w:r>
          </w:p>
        </w:tc>
        <w:tc>
          <w:tcPr>
            <w:tcW w:w="7261" w:type="dxa"/>
            <w:tcBorders>
              <w:top w:val="single" w:color="auto" w:sz="4" w:space="0"/>
              <w:left w:val="single" w:color="auto" w:sz="4" w:space="0"/>
              <w:bottom w:val="single" w:color="auto" w:sz="4" w:space="0"/>
              <w:right w:val="single" w:color="auto" w:sz="4" w:space="0"/>
            </w:tcBorders>
          </w:tcPr>
          <w:p w14:paraId="00D1BE87">
            <w:pPr>
              <w:pStyle w:val="16"/>
              <w:rPr>
                <w:b/>
              </w:rPr>
            </w:pPr>
            <w:r>
              <w:t>max(200 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A9E75A3">
            <w:pPr>
              <w:pStyle w:val="16"/>
            </w:pPr>
            <w:r>
              <w:t>DRX cycle&gt;320 ms</w:t>
            </w:r>
          </w:p>
        </w:tc>
        <w:tc>
          <w:tcPr>
            <w:tcW w:w="7261" w:type="dxa"/>
            <w:tcBorders>
              <w:top w:val="single" w:color="auto" w:sz="4" w:space="0"/>
              <w:left w:val="single" w:color="auto" w:sz="4" w:space="0"/>
              <w:bottom w:val="single" w:color="auto" w:sz="4" w:space="0"/>
              <w:right w:val="single" w:color="auto" w:sz="4" w:space="0"/>
            </w:tcBorders>
          </w:tcPr>
          <w:p w14:paraId="4C13AFAA">
            <w:pPr>
              <w:pStyle w:val="16"/>
              <w:rPr>
                <w:b/>
              </w:rPr>
            </w:pPr>
            <w:r>
              <w:t>(5+L</w:t>
            </w:r>
            <w:r>
              <w:rPr>
                <w:vertAlign w:val="subscript"/>
              </w:rPr>
              <w:t>meas,gaps</w:t>
            </w:r>
            <w:r>
              <w:t>) x (MGRP, DRX cycle)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AFD6C00">
            <w:pPr>
              <w:keepNext/>
              <w:keepLines/>
              <w:spacing w:after="0"/>
              <w:ind w:left="851" w:hanging="851"/>
              <w:rPr>
                <w:rFonts w:ascii="Arial" w:hAnsi="Arial"/>
                <w:sz w:val="18"/>
                <w:lang w:eastAsia="ko-KR"/>
              </w:rPr>
            </w:pPr>
            <w:r>
              <w:rPr>
                <w:rFonts w:ascii="Arial" w:hAnsi="Arial"/>
                <w:sz w:val="18"/>
                <w:lang w:eastAsia="ko-KR"/>
              </w:rPr>
              <w:t>NOTE 1</w:t>
            </w:r>
            <w:r>
              <w:rPr>
                <w:rFonts w:ascii="Arial" w:hAnsi="Arial"/>
                <w:sz w:val="18"/>
                <w:lang w:eastAsia="en-GB"/>
              </w:rPr>
              <w:t>:</w:t>
            </w:r>
            <w:r>
              <w:rPr>
                <w:rFonts w:ascii="Arial" w:hAnsi="Arial"/>
                <w:sz w:val="18"/>
                <w:lang w:eastAsia="en-GB"/>
              </w:rPr>
              <w:tab/>
            </w:r>
            <w:r>
              <w:rPr>
                <w:rFonts w:ascii="Arial" w:hAnsi="Arial"/>
                <w:sz w:val="18"/>
                <w:lang w:eastAsia="en-GB"/>
              </w:rPr>
              <w:t>When DRX is not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SMTC occasions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DRX is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DRX cycles in which at least one SMTC occasion is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rFonts w:ascii="Arial" w:hAnsi="Arial"/>
                <w:sz w:val="18"/>
                <w:vertAlign w:val="subscript"/>
                <w:lang w:eastAsia="en-GB"/>
              </w:rPr>
              <w:t>intra</w:t>
            </w:r>
            <w:r>
              <w:rPr>
                <w:rFonts w:ascii="Arial" w:hAnsi="Arial"/>
                <w:sz w:val="18"/>
                <w:lang w:eastAsia="en-GB"/>
              </w:rPr>
              <w:t>.</w:t>
            </w:r>
          </w:p>
          <w:p w14:paraId="17252AF9">
            <w:pPr>
              <w:keepNext/>
              <w:keepLines/>
              <w:spacing w:after="0"/>
              <w:ind w:left="851" w:hanging="851"/>
              <w:rPr>
                <w:rFonts w:ascii="Arial" w:hAnsi="Arial"/>
                <w:sz w:val="18"/>
                <w:lang w:eastAsia="en-GB"/>
              </w:rPr>
            </w:pPr>
            <w:r>
              <w:rPr>
                <w:rFonts w:ascii="Arial" w:hAnsi="Arial"/>
                <w:sz w:val="18"/>
                <w:lang w:eastAsia="ko-KR"/>
              </w:rPr>
              <w:t>NOTE 2</w:t>
            </w:r>
            <w:r>
              <w:rPr>
                <w:rFonts w:ascii="Arial" w:hAnsi="Arial"/>
                <w:sz w:val="18"/>
                <w:lang w:eastAsia="en-GB"/>
              </w:rPr>
              <w:t>:</w:t>
            </w:r>
            <w:r>
              <w:rPr>
                <w:rFonts w:ascii="Arial" w:hAnsi="Arial"/>
                <w:sz w:val="18"/>
                <w:lang w:eastAsia="en-GB"/>
              </w:rPr>
              <w:tab/>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7 for 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≤4</w:t>
            </w:r>
            <w:r>
              <w:rPr>
                <w:rFonts w:ascii="Arial" w:hAnsi="Arial"/>
                <w:sz w:val="18"/>
                <w:lang w:eastAsia="en-GB"/>
              </w:rPr>
              <w:t>0ms where DRX cycle is 0 for non-DRX, 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5 for 40ms&lt;Max(DRX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w:t>
            </w:r>
            <w:r>
              <w:rPr>
                <w:rFonts w:ascii="Arial" w:hAnsi="Arial"/>
                <w:sz w:val="18"/>
                <w:lang w:eastAsia="en-GB"/>
              </w:rPr>
              <w:t>320ms, L</w:t>
            </w:r>
            <w:r>
              <w:rPr>
                <w:rFonts w:ascii="Arial" w:hAnsi="Arial"/>
                <w:sz w:val="18"/>
                <w:vertAlign w:val="subscript"/>
                <w:lang w:eastAsia="en-GB"/>
              </w:rPr>
              <w:t>meas,gaps</w:t>
            </w:r>
            <w:r>
              <w:rPr>
                <w:rFonts w:ascii="Arial" w:hAnsi="Arial"/>
                <w:sz w:val="18"/>
                <w:vertAlign w:val="subscript"/>
                <w:lang w:eastAsia="ko-KR"/>
              </w:rPr>
              <w:t xml:space="preserve">,max </w:t>
            </w:r>
            <w:r>
              <w:rPr>
                <w:rFonts w:ascii="Arial" w:hAnsi="Arial"/>
                <w:sz w:val="18"/>
                <w:lang w:eastAsia="en-GB"/>
              </w:rPr>
              <w:t>= 3 for DRX cycle&gt;320ms.</w:t>
            </w:r>
          </w:p>
          <w:p w14:paraId="5459A28A">
            <w:pPr>
              <w:pStyle w:val="18"/>
            </w:pPr>
            <w:r>
              <w:rPr>
                <w:lang w:eastAsia="en-GB"/>
              </w:rPr>
              <w:t>NOTE 3:</w:t>
            </w:r>
            <w:r>
              <w:rPr>
                <w:lang w:eastAsia="en-GB"/>
              </w:rPr>
              <w:tab/>
            </w:r>
            <w:r>
              <w:rPr>
                <w:lang w:val="zh-CN" w:eastAsia="en-GB"/>
              </w:rPr>
              <w:t xml:space="preserve">Upon </w:t>
            </w:r>
            <w:r>
              <w:rPr>
                <w:lang w:eastAsia="en-GB"/>
              </w:rPr>
              <w:t>exceeding</w:t>
            </w:r>
            <w:r>
              <w:rPr>
                <w:lang w:val="zh-CN" w:eastAsia="en-GB"/>
              </w:rPr>
              <w:t xml:space="preserve"> </w:t>
            </w:r>
            <w:r>
              <w:rPr>
                <w:lang w:eastAsia="ko-KR"/>
              </w:rPr>
              <w:t>L</w:t>
            </w:r>
            <w:r>
              <w:rPr>
                <w:vertAlign w:val="subscript"/>
                <w:lang w:eastAsia="ko-KR"/>
              </w:rPr>
              <w:t>meas,gaps,max</w:t>
            </w:r>
            <w:r>
              <w:rPr>
                <w:lang w:val="zh-CN" w:eastAsia="en-GB"/>
              </w:rPr>
              <w:t xml:space="preserve"> </w:t>
            </w:r>
            <w:r>
              <w:rPr>
                <w:lang w:eastAsia="en-GB"/>
              </w:rPr>
              <w:t>over the T</w:t>
            </w:r>
            <w:r>
              <w:rPr>
                <w:vertAlign w:val="subscript"/>
                <w:lang w:eastAsia="en-GB"/>
              </w:rPr>
              <w:t>SSB_measurement_period_intra_CCA</w:t>
            </w:r>
            <w:r>
              <w:rPr>
                <w:b/>
                <w:lang w:eastAsia="en-GB"/>
              </w:rPr>
              <w:t xml:space="preserve"> </w:t>
            </w:r>
            <w:r>
              <w:rPr>
                <w:lang w:eastAsia="en-GB"/>
              </w:rPr>
              <w:t>period of time</w:t>
            </w:r>
            <w:r>
              <w:rPr>
                <w:lang w:val="zh-CN" w:eastAsia="en-GB"/>
              </w:rPr>
              <w:t>, the UE has to restart the measurement procedure.</w:t>
            </w:r>
          </w:p>
        </w:tc>
      </w:tr>
    </w:tbl>
    <w:p w14:paraId="3B9A699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7BC9D2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and not considering Type 2 gaps,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1DFFA025">
      <w:pPr>
        <w:pStyle w:val="11"/>
        <w:numPr>
          <w:ilvl w:val="0"/>
          <w:numId w:val="12"/>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eastAsia" w:ascii="Times New Roman" w:hAnsi="Times New Roman" w:cs="Times New Roman"/>
          <w:b/>
          <w:bCs/>
          <w:i/>
          <w:iCs/>
          <w:sz w:val="20"/>
          <w:szCs w:val="20"/>
          <w:lang w:val="en-US" w:eastAsia="zh-CN"/>
        </w:rPr>
        <w:t>)</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p w14:paraId="7A333A4D">
      <w:pPr>
        <w:pStyle w:val="11"/>
        <w:numPr>
          <w:ilvl w:val="0"/>
          <w:numId w:val="0"/>
        </w:numPr>
        <w:overflowPunct/>
        <w:autoSpaceDE/>
        <w:autoSpaceDN/>
        <w:adjustRightInd/>
        <w:spacing w:after="160" w:line="259" w:lineRule="auto"/>
        <w:contextualSpacing/>
        <w:textAlignment w:val="auto"/>
        <w:rPr>
          <w:rFonts w:hint="default" w:ascii="Times New Roman" w:hAnsi="Times New Roman" w:cs="Times New Roman"/>
          <w:b/>
          <w:bCs/>
          <w:i/>
          <w:iCs/>
          <w:sz w:val="20"/>
          <w:szCs w:val="20"/>
          <w:lang w:val="en-US"/>
        </w:rPr>
      </w:pPr>
    </w:p>
    <w:bookmarkEnd w:id="6"/>
    <w:bookmarkEnd w:id="7"/>
    <w:p w14:paraId="655D2A6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core requirements for </w:t>
      </w:r>
      <w:r>
        <w:rPr>
          <w:rFonts w:hint="eastAsia" w:ascii="Times New Roman" w:hAnsi="Times New Roman"/>
          <w:sz w:val="20"/>
          <w:szCs w:val="20"/>
          <w:highlight w:val="none"/>
        </w:rPr>
        <w:t xml:space="preserve">XR (eXtended Reality) for NR Phase 3.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158FA2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cs="Times New Roman"/>
          <w:b/>
          <w:bCs/>
          <w:i/>
          <w:iCs/>
          <w:sz w:val="20"/>
          <w:szCs w:val="20"/>
          <w:highlight w:val="none"/>
          <w:lang w:eastAsia="zh-CN"/>
        </w:rPr>
        <w:t>the applicability of the gap cancellation if two non colliding concurrent gaps are separated by less than X ms</w:t>
      </w:r>
      <w:r>
        <w:rPr>
          <w:rFonts w:hint="eastAsia" w:ascii="Times New Roman" w:hAnsi="Times New Roman" w:cs="Times New Roman"/>
          <w:b/>
          <w:bCs/>
          <w:i/>
          <w:iCs/>
          <w:sz w:val="20"/>
          <w:szCs w:val="20"/>
          <w:highlight w:val="none"/>
          <w:lang w:val="en-US" w:eastAsia="zh-CN"/>
        </w:rPr>
        <w:t>:</w:t>
      </w:r>
    </w:p>
    <w:p w14:paraId="47378B34">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If </w:t>
      </w:r>
      <w:r>
        <w:rPr>
          <w:rFonts w:hint="default" w:ascii="Times New Roman" w:hAnsi="Times New Roman" w:cs="Times New Roman"/>
          <w:b/>
          <w:bCs/>
          <w:i/>
          <w:iCs/>
          <w:sz w:val="20"/>
          <w:szCs w:val="20"/>
          <w:highlight w:val="none"/>
          <w:lang w:eastAsia="zh-CN"/>
        </w:rPr>
        <w:t>concurrent gaps are separated by less than X ms</w:t>
      </w:r>
      <w:r>
        <w:rPr>
          <w:rFonts w:hint="eastAsia" w:ascii="Times New Roman" w:hAnsi="Times New Roman" w:cs="Times New Roman"/>
          <w:b/>
          <w:bCs/>
          <w:i/>
          <w:iCs/>
          <w:sz w:val="20"/>
          <w:szCs w:val="20"/>
          <w:highlight w:val="none"/>
          <w:lang w:val="en-US" w:eastAsia="zh-CN"/>
        </w:rPr>
        <w:t xml:space="preserve"> and X is 3ms, it is the colliding case, and MG cancelling DCI applies to the MG surviving the collision handling rules.</w:t>
      </w:r>
    </w:p>
    <w:p w14:paraId="26BECA2F">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If </w:t>
      </w:r>
      <w:r>
        <w:rPr>
          <w:rFonts w:hint="default" w:ascii="Times New Roman" w:hAnsi="Times New Roman" w:cs="Times New Roman"/>
          <w:b/>
          <w:bCs/>
          <w:i/>
          <w:iCs/>
          <w:sz w:val="20"/>
          <w:szCs w:val="20"/>
          <w:highlight w:val="none"/>
          <w:lang w:eastAsia="zh-CN"/>
        </w:rPr>
        <w:t>concurrent gaps are separated by less than X ms</w:t>
      </w:r>
      <w:r>
        <w:rPr>
          <w:rFonts w:hint="eastAsia" w:ascii="Times New Roman" w:hAnsi="Times New Roman" w:cs="Times New Roman"/>
          <w:b/>
          <w:bCs/>
          <w:i/>
          <w:iCs/>
          <w:sz w:val="20"/>
          <w:szCs w:val="20"/>
          <w:highlight w:val="none"/>
          <w:lang w:val="en-US" w:eastAsia="zh-CN"/>
        </w:rPr>
        <w:t xml:space="preserve"> and X is 5ms, </w:t>
      </w:r>
      <w:r>
        <w:rPr>
          <w:rFonts w:hint="eastAsia" w:ascii="Times New Roman" w:hAnsi="Times New Roman"/>
          <w:b/>
          <w:bCs/>
          <w:i/>
          <w:iCs/>
          <w:sz w:val="20"/>
          <w:szCs w:val="20"/>
          <w:lang w:val="en-US" w:eastAsia="zh-CN"/>
        </w:rPr>
        <w:t>MG cancelling DCI cancels the MG occasion which is the first occasion that satisfy the X ms from the cancelling indication reception.</w:t>
      </w:r>
    </w:p>
    <w:p w14:paraId="36992C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and not considering Type 2 gaps,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66AC49CD">
      <w:pPr>
        <w:pStyle w:val="11"/>
        <w:numPr>
          <w:ilvl w:val="0"/>
          <w:numId w:val="12"/>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eastAsia" w:ascii="Times New Roman" w:hAnsi="Times New Roman" w:cs="Times New Roman"/>
          <w:b/>
          <w:bCs/>
          <w:i/>
          <w:iCs/>
          <w:sz w:val="20"/>
          <w:szCs w:val="20"/>
          <w:lang w:val="en-US" w:eastAsia="zh-CN"/>
        </w:rPr>
        <w:t>)</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p w14:paraId="0BFE9843">
      <w:pPr>
        <w:tabs>
          <w:tab w:val="left" w:pos="1134"/>
        </w:tabs>
        <w:spacing w:after="180" w:line="240" w:lineRule="exact"/>
        <w:rPr>
          <w:rFonts w:hint="eastAsia" w:ascii="Times New Roman" w:hAnsi="Times New Roman"/>
          <w:sz w:val="20"/>
          <w:szCs w:val="20"/>
          <w:highlight w:val="none"/>
        </w:rPr>
      </w:pPr>
      <w:bookmarkStart w:id="10" w:name="_GoBack"/>
      <w:bookmarkEnd w:id="10"/>
    </w:p>
    <w:p w14:paraId="379252B6">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35B9566E">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w:t>
      </w:r>
      <w:r>
        <w:rPr>
          <w:rFonts w:hint="eastAsia" w:ascii="Times" w:hAnsi="Times" w:eastAsia="宋体"/>
          <w:b w:val="0"/>
          <w:sz w:val="20"/>
          <w:lang w:val="en-US" w:eastAsia="zh-CN"/>
        </w:rPr>
        <w:t xml:space="preserve">8285,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45B51182">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1B18638B">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0C74C7A5">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3"/>
        <w:framePr w:wrap="auto" w:vAnchor="margin" w:hAnchor="text" w:yAlign="inline"/>
        <w:ind w:right="400"/>
        <w:jc w:val="both"/>
        <w:rPr>
          <w:rFonts w:ascii="Times" w:hAnsi="Times" w:eastAsia="宋体"/>
          <w:b w:val="0"/>
          <w:sz w:val="20"/>
          <w:lang w:eastAsia="zh-CN"/>
        </w:rPr>
      </w:pPr>
    </w:p>
    <w:p w14:paraId="795410AE">
      <w:pPr>
        <w:pStyle w:val="13"/>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203062"/>
    <w:multiLevelType w:val="singleLevel"/>
    <w:tmpl w:val="D4203062"/>
    <w:lvl w:ilvl="0" w:tentative="0">
      <w:start w:val="1"/>
      <w:numFmt w:val="bullet"/>
      <w:lvlText w:val=""/>
      <w:lvlJc w:val="left"/>
      <w:pPr>
        <w:tabs>
          <w:tab w:val="left" w:pos="420"/>
        </w:tabs>
        <w:ind w:left="840" w:hanging="420"/>
      </w:pPr>
      <w:rPr>
        <w:rFonts w:hint="default" w:ascii="Wingdings" w:hAnsi="Wingdings"/>
      </w:rPr>
    </w:lvl>
  </w:abstractNum>
  <w:abstractNum w:abstractNumId="1">
    <w:nsid w:val="E0C0A555"/>
    <w:multiLevelType w:val="multilevel"/>
    <w:tmpl w:val="E0C0A5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2">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D6E3167"/>
    <w:multiLevelType w:val="multilevel"/>
    <w:tmpl w:val="4D6E3167"/>
    <w:lvl w:ilvl="0" w:tentative="0">
      <w:start w:val="1"/>
      <w:numFmt w:val="decimal"/>
      <w:pStyle w:val="19"/>
      <w:suff w:val="space"/>
      <w:lvlText w:val="Proposal %1:"/>
      <w:lvlJc w:val="left"/>
      <w:pPr>
        <w:ind w:left="2629" w:hanging="360"/>
      </w:pPr>
      <w:rPr>
        <w:rFonts w:hint="default" w:ascii="Times New Roman" w:hAnsi="Times New Roman"/>
        <w:b/>
        <w:i w:val="0"/>
        <w:color w:val="auto"/>
        <w:sz w:val="20"/>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E77B816"/>
    <w:multiLevelType w:val="singleLevel"/>
    <w:tmpl w:val="5E77B816"/>
    <w:lvl w:ilvl="0" w:tentative="0">
      <w:start w:val="1"/>
      <w:numFmt w:val="bullet"/>
      <w:lvlText w:val=""/>
      <w:lvlJc w:val="left"/>
      <w:pPr>
        <w:ind w:left="420" w:hanging="420"/>
      </w:pPr>
      <w:rPr>
        <w:rFonts w:hint="default" w:ascii="Wingdings" w:hAnsi="Wingdings"/>
      </w:rPr>
    </w:lvl>
  </w:abstractNum>
  <w:abstractNum w:abstractNumId="8">
    <w:nsid w:val="60B85EC6"/>
    <w:multiLevelType w:val="singleLevel"/>
    <w:tmpl w:val="60B85EC6"/>
    <w:lvl w:ilvl="0" w:tentative="0">
      <w:start w:val="1"/>
      <w:numFmt w:val="bullet"/>
      <w:lvlText w:val=""/>
      <w:lvlJc w:val="left"/>
      <w:pPr>
        <w:tabs>
          <w:tab w:val="left" w:pos="420"/>
        </w:tabs>
        <w:ind w:left="840" w:hanging="420"/>
      </w:pPr>
      <w:rPr>
        <w:rFonts w:hint="default" w:ascii="Wingdings" w:hAnsi="Wingdings"/>
      </w:rPr>
    </w:lvl>
  </w:abstractNum>
  <w:abstractNum w:abstractNumId="9">
    <w:nsid w:val="6F653A72"/>
    <w:multiLevelType w:val="multilevel"/>
    <w:tmpl w:val="6F653A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6"/>
  </w:num>
  <w:num w:numId="3">
    <w:abstractNumId w:val="4"/>
  </w:num>
  <w:num w:numId="4">
    <w:abstractNumId w:val="5"/>
  </w:num>
  <w:num w:numId="5">
    <w:abstractNumId w:val="2"/>
  </w:num>
  <w:num w:numId="6">
    <w:abstractNumId w:val="9"/>
  </w:num>
  <w:num w:numId="7">
    <w:abstractNumId w:val="11"/>
  </w:num>
  <w:num w:numId="8">
    <w:abstractNumId w:val="1"/>
  </w:num>
  <w:num w:numId="9">
    <w:abstractNumId w:val="8"/>
  </w:num>
  <w:num w:numId="10">
    <w:abstractNumId w:val="7"/>
  </w:num>
  <w:num w:numId="11">
    <w:abstractNumId w:val="12"/>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0F73EEA"/>
    <w:rsid w:val="02701417"/>
    <w:rsid w:val="069E4681"/>
    <w:rsid w:val="06A109A1"/>
    <w:rsid w:val="07FB4AF5"/>
    <w:rsid w:val="09C402AD"/>
    <w:rsid w:val="0AEB7EB8"/>
    <w:rsid w:val="10374E70"/>
    <w:rsid w:val="12BC4B05"/>
    <w:rsid w:val="1439793E"/>
    <w:rsid w:val="17106074"/>
    <w:rsid w:val="18C4229C"/>
    <w:rsid w:val="19A2365F"/>
    <w:rsid w:val="1D5368AC"/>
    <w:rsid w:val="1DC10CB6"/>
    <w:rsid w:val="20783067"/>
    <w:rsid w:val="20DF75F5"/>
    <w:rsid w:val="23562D09"/>
    <w:rsid w:val="24F2052C"/>
    <w:rsid w:val="2604714B"/>
    <w:rsid w:val="28153018"/>
    <w:rsid w:val="29EB2AFB"/>
    <w:rsid w:val="2E950C64"/>
    <w:rsid w:val="31F9420D"/>
    <w:rsid w:val="322B49D1"/>
    <w:rsid w:val="34386E10"/>
    <w:rsid w:val="358D4A0B"/>
    <w:rsid w:val="37394373"/>
    <w:rsid w:val="3925145A"/>
    <w:rsid w:val="396072EC"/>
    <w:rsid w:val="3B853E61"/>
    <w:rsid w:val="3CCC69B7"/>
    <w:rsid w:val="3DA20EAA"/>
    <w:rsid w:val="3E6447EC"/>
    <w:rsid w:val="3F742F66"/>
    <w:rsid w:val="3FFE13FF"/>
    <w:rsid w:val="42C23F55"/>
    <w:rsid w:val="436C1CAB"/>
    <w:rsid w:val="471072A6"/>
    <w:rsid w:val="48135B10"/>
    <w:rsid w:val="4A2C2378"/>
    <w:rsid w:val="4CB24246"/>
    <w:rsid w:val="52AB6D30"/>
    <w:rsid w:val="53DF24DA"/>
    <w:rsid w:val="544F115F"/>
    <w:rsid w:val="54750278"/>
    <w:rsid w:val="554A2E08"/>
    <w:rsid w:val="583E71D6"/>
    <w:rsid w:val="5F087B73"/>
    <w:rsid w:val="5F4A6064"/>
    <w:rsid w:val="61FF5EB2"/>
    <w:rsid w:val="6287511B"/>
    <w:rsid w:val="630951DF"/>
    <w:rsid w:val="67392F67"/>
    <w:rsid w:val="6E5B0FF3"/>
    <w:rsid w:val="710B095A"/>
    <w:rsid w:val="718070C4"/>
    <w:rsid w:val="71ED00B9"/>
    <w:rsid w:val="741C7D5B"/>
    <w:rsid w:val="74B92B66"/>
    <w:rsid w:val="77302EC9"/>
    <w:rsid w:val="78F47979"/>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unhideWhenUsed/>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unhideWhenUsed/>
    <w:qFormat/>
    <w:uiPriority w:val="99"/>
    <w:pPr>
      <w:ind w:left="200" w:hanging="200" w:hangingChars="200"/>
      <w:contextualSpacing/>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RAN4 proposal"/>
    <w:basedOn w:val="4"/>
    <w:next w:val="1"/>
    <w:qFormat/>
    <w:uiPriority w:val="0"/>
    <w:pPr>
      <w:numPr>
        <w:ilvl w:val="0"/>
        <w:numId w:val="2"/>
      </w:numPr>
      <w:spacing w:before="0" w:after="200"/>
      <w:ind w:left="360"/>
    </w:pPr>
    <w:rPr>
      <w:rFonts w:eastAsiaTheme="minorHAnsi" w:cstheme="minorBidi"/>
      <w:iCs/>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CMCC-RAN4#116</cp:lastModifiedBy>
  <dcterms:modified xsi:type="dcterms:W3CDTF">2025-08-15T07:08:49Z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407A17AFADE94D729A34BFAACB63C354</vt:lpwstr>
  </property>
</Properties>
</file>